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B54" w14:textId="77D99FA4" w:rsidR="00130C7B" w:rsidRPr="00AE4E45" w:rsidRDefault="00130C7B" w:rsidP="00130C7B">
      <w:pPr>
        <w:rPr>
          <w:sz w:val="22"/>
          <w:szCs w:val="22"/>
        </w:rPr>
      </w:pPr>
      <w:r w:rsidRPr="00AE4E45">
        <w:rPr>
          <w:sz w:val="22"/>
          <w:szCs w:val="22"/>
        </w:rPr>
        <w:t xml:space="preserve">The following guidelines are presented to assist all members as they decide how best to utilize this benefit. </w:t>
      </w:r>
      <w:r w:rsidR="00066A81" w:rsidRPr="00AE4E45">
        <w:rPr>
          <w:sz w:val="22"/>
          <w:szCs w:val="22"/>
        </w:rPr>
        <w:t xml:space="preserve">All purchases must be made for the current school year. College tuition paid must align </w:t>
      </w:r>
      <w:r w:rsidR="00C51C64" w:rsidRPr="00AE4E45">
        <w:rPr>
          <w:sz w:val="22"/>
          <w:szCs w:val="22"/>
        </w:rPr>
        <w:t xml:space="preserve">with the semester attended from </w:t>
      </w:r>
      <w:r w:rsidR="007C0AD0" w:rsidRPr="00AE4E45">
        <w:rPr>
          <w:sz w:val="22"/>
          <w:szCs w:val="22"/>
        </w:rPr>
        <w:t>07/0</w:t>
      </w:r>
      <w:r w:rsidR="00B06C43" w:rsidRPr="00AE4E45">
        <w:rPr>
          <w:sz w:val="22"/>
          <w:szCs w:val="22"/>
        </w:rPr>
        <w:t>1</w:t>
      </w:r>
      <w:r w:rsidR="007C0AD0" w:rsidRPr="00AE4E45">
        <w:rPr>
          <w:sz w:val="22"/>
          <w:szCs w:val="22"/>
        </w:rPr>
        <w:t>/</w:t>
      </w:r>
      <w:r w:rsidR="00C51C64" w:rsidRPr="00AE4E45">
        <w:rPr>
          <w:sz w:val="22"/>
          <w:szCs w:val="22"/>
        </w:rPr>
        <w:t xml:space="preserve">18 to </w:t>
      </w:r>
      <w:r w:rsidR="007C0AD0" w:rsidRPr="00AE4E45">
        <w:rPr>
          <w:sz w:val="22"/>
          <w:szCs w:val="22"/>
        </w:rPr>
        <w:t>06/</w:t>
      </w:r>
      <w:r w:rsidR="00C51C64" w:rsidRPr="00AE4E45">
        <w:rPr>
          <w:sz w:val="22"/>
          <w:szCs w:val="22"/>
        </w:rPr>
        <w:t>30</w:t>
      </w:r>
      <w:r w:rsidR="007C0AD0" w:rsidRPr="00AE4E45">
        <w:rPr>
          <w:sz w:val="22"/>
          <w:szCs w:val="22"/>
        </w:rPr>
        <w:t>/</w:t>
      </w:r>
      <w:r w:rsidR="00C51C64" w:rsidRPr="00AE4E45">
        <w:rPr>
          <w:sz w:val="22"/>
          <w:szCs w:val="22"/>
        </w:rPr>
        <w:t xml:space="preserve">19. </w:t>
      </w:r>
      <w:r w:rsidRPr="00AE4E45">
        <w:rPr>
          <w:sz w:val="22"/>
          <w:szCs w:val="22"/>
        </w:rPr>
        <w:t xml:space="preserve">In broad terms the $600.00 reimbursement </w:t>
      </w:r>
      <w:r w:rsidR="007C0AD0" w:rsidRPr="00AE4E45">
        <w:rPr>
          <w:sz w:val="22"/>
          <w:szCs w:val="22"/>
        </w:rPr>
        <w:t xml:space="preserve">for </w:t>
      </w:r>
      <w:r w:rsidRPr="00AE4E45">
        <w:rPr>
          <w:sz w:val="22"/>
          <w:szCs w:val="22"/>
        </w:rPr>
        <w:t>each member may be used for the following:</w:t>
      </w:r>
    </w:p>
    <w:p w14:paraId="7432D147" w14:textId="3D55F7A4" w:rsidR="00130C7B" w:rsidRPr="00AE4E45" w:rsidRDefault="00130C7B" w:rsidP="00B06C4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Reimbursement for participation in professional seminars and conferences</w:t>
      </w:r>
      <w:r w:rsidR="00066A81" w:rsidRPr="00AE4E45">
        <w:rPr>
          <w:sz w:val="22"/>
          <w:szCs w:val="22"/>
        </w:rPr>
        <w:t xml:space="preserve"> in current school calendar year.</w:t>
      </w:r>
    </w:p>
    <w:p w14:paraId="22FDA618" w14:textId="1F7FF8C9" w:rsidR="00130C7B" w:rsidRPr="00AE4E45" w:rsidRDefault="00130C7B" w:rsidP="00130C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Tuition reimbursement approved courses successfully completed, including fulfillment of continuing education requirements (Act 45/48.)</w:t>
      </w:r>
    </w:p>
    <w:p w14:paraId="75307CFA" w14:textId="5BA2259E" w:rsidR="00130C7B" w:rsidRPr="00AE4E45" w:rsidRDefault="00130C7B" w:rsidP="00130C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Reimbursement for the creation of seminars including the cost of leadership fees, space rental, and food</w:t>
      </w:r>
    </w:p>
    <w:p w14:paraId="4912784F" w14:textId="73BCC954" w:rsidR="00130C7B" w:rsidRPr="00AE4E45" w:rsidRDefault="00130C7B" w:rsidP="00130C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Reimbursement for the dues paid for membership in state &amp; national associations</w:t>
      </w:r>
      <w:r w:rsidR="00066A81" w:rsidRPr="00AE4E45">
        <w:rPr>
          <w:sz w:val="22"/>
          <w:szCs w:val="22"/>
        </w:rPr>
        <w:t xml:space="preserve"> for the current year only. </w:t>
      </w:r>
      <w:r w:rsidR="00233B70" w:rsidRPr="00AE4E45">
        <w:rPr>
          <w:sz w:val="22"/>
          <w:szCs w:val="22"/>
        </w:rPr>
        <w:t>Payment for future years will not be honored.</w:t>
      </w:r>
    </w:p>
    <w:p w14:paraId="315CCAB9" w14:textId="5D7472A7" w:rsidR="00130C7B" w:rsidRPr="000C15FB" w:rsidRDefault="00130C7B" w:rsidP="000C15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Reimbursement for Professional Association Memberships &amp; Meetings</w:t>
      </w:r>
      <w:r w:rsidR="00C51C64" w:rsidRPr="00AE4E45">
        <w:rPr>
          <w:sz w:val="22"/>
          <w:szCs w:val="22"/>
        </w:rPr>
        <w:t xml:space="preserve"> in the 2018-19 school calendar year.</w:t>
      </w:r>
      <w:r w:rsidR="000C15FB">
        <w:rPr>
          <w:sz w:val="22"/>
          <w:szCs w:val="22"/>
        </w:rPr>
        <w:t xml:space="preserve"> </w:t>
      </w:r>
      <w:r w:rsidRPr="000C15FB">
        <w:rPr>
          <w:sz w:val="22"/>
          <w:szCs w:val="22"/>
        </w:rPr>
        <w:t>Covers annual dues paid to Professional Organizations and costs associated with the attendance at meetings of these Organizations.</w:t>
      </w:r>
    </w:p>
    <w:p w14:paraId="7447C54F" w14:textId="5A1190C6" w:rsidR="00130C7B" w:rsidRPr="00AE4E45" w:rsidRDefault="00130C7B" w:rsidP="00130C7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College Coursework (must maintain a grade of “C” or better).</w:t>
      </w:r>
    </w:p>
    <w:p w14:paraId="2C49BD16" w14:textId="53B0269C" w:rsidR="00130C7B" w:rsidRPr="00AE4E45" w:rsidRDefault="00130C7B" w:rsidP="00A346A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AE4E45">
        <w:rPr>
          <w:sz w:val="22"/>
          <w:szCs w:val="22"/>
        </w:rPr>
        <w:t>Individual Grants</w:t>
      </w:r>
      <w:r w:rsidR="00A346AA" w:rsidRPr="00AE4E45">
        <w:rPr>
          <w:sz w:val="22"/>
          <w:szCs w:val="22"/>
        </w:rPr>
        <w:t xml:space="preserve"> or </w:t>
      </w:r>
      <w:r w:rsidRPr="00AE4E45">
        <w:rPr>
          <w:sz w:val="22"/>
          <w:szCs w:val="22"/>
        </w:rPr>
        <w:t>Collaborative Grants</w:t>
      </w:r>
    </w:p>
    <w:p w14:paraId="7F346C9D" w14:textId="002275F4" w:rsidR="00130C7B" w:rsidRPr="00AE4E45" w:rsidRDefault="00130C7B" w:rsidP="00233B70">
      <w:pPr>
        <w:rPr>
          <w:sz w:val="22"/>
          <w:szCs w:val="22"/>
        </w:rPr>
      </w:pPr>
      <w:r w:rsidRPr="00AE4E45">
        <w:rPr>
          <w:sz w:val="22"/>
          <w:szCs w:val="22"/>
        </w:rPr>
        <w:t xml:space="preserve">In addition, technology purchases will be allowed; however, approval for technology purchases is on a three (3) – year rotating basis. For example, if technology is purchased and approved for 2018-19 reimbursement, the member is not eligible to seek reimbursement for any technology until 2021-22. Technology is limited </w:t>
      </w:r>
      <w:r w:rsidR="000F4168">
        <w:rPr>
          <w:sz w:val="22"/>
          <w:szCs w:val="22"/>
        </w:rPr>
        <w:t xml:space="preserve">as </w:t>
      </w:r>
      <w:r w:rsidRPr="00AE4E45">
        <w:rPr>
          <w:sz w:val="22"/>
          <w:szCs w:val="22"/>
        </w:rPr>
        <w:t>follow</w:t>
      </w:r>
      <w:r w:rsidR="000F4168">
        <w:rPr>
          <w:sz w:val="22"/>
          <w:szCs w:val="22"/>
        </w:rPr>
        <w:t>s</w:t>
      </w:r>
      <w:r w:rsidRPr="00AE4E45">
        <w:rPr>
          <w:sz w:val="22"/>
          <w:szCs w:val="22"/>
        </w:rPr>
        <w:t>:</w:t>
      </w:r>
      <w:r w:rsidR="004533EA" w:rsidRPr="00AE4E45">
        <w:rPr>
          <w:sz w:val="22"/>
          <w:szCs w:val="22"/>
        </w:rPr>
        <w:t xml:space="preserve"> </w:t>
      </w:r>
      <w:r w:rsidR="00233B70" w:rsidRPr="00AE4E45">
        <w:rPr>
          <w:sz w:val="22"/>
          <w:szCs w:val="22"/>
        </w:rPr>
        <w:t xml:space="preserve">1. </w:t>
      </w:r>
      <w:proofErr w:type="gramStart"/>
      <w:r w:rsidRPr="00AE4E45">
        <w:rPr>
          <w:sz w:val="22"/>
          <w:szCs w:val="22"/>
        </w:rPr>
        <w:t>Computers</w:t>
      </w:r>
      <w:r w:rsidR="00A346AA" w:rsidRPr="00AE4E45">
        <w:rPr>
          <w:sz w:val="22"/>
          <w:szCs w:val="22"/>
        </w:rPr>
        <w:t xml:space="preserve"> </w:t>
      </w:r>
      <w:r w:rsidR="004533EA" w:rsidRPr="00AE4E45">
        <w:rPr>
          <w:sz w:val="22"/>
          <w:szCs w:val="22"/>
        </w:rPr>
        <w:t xml:space="preserve"> </w:t>
      </w:r>
      <w:r w:rsidR="00A346AA" w:rsidRPr="00AE4E45">
        <w:rPr>
          <w:sz w:val="22"/>
          <w:szCs w:val="22"/>
        </w:rPr>
        <w:t>2</w:t>
      </w:r>
      <w:proofErr w:type="gramEnd"/>
      <w:r w:rsidR="00A346AA" w:rsidRPr="00AE4E45">
        <w:rPr>
          <w:sz w:val="22"/>
          <w:szCs w:val="22"/>
        </w:rPr>
        <w:t>.</w:t>
      </w:r>
      <w:r w:rsidR="00066A81" w:rsidRPr="00AE4E45">
        <w:rPr>
          <w:sz w:val="22"/>
          <w:szCs w:val="22"/>
        </w:rPr>
        <w:t xml:space="preserve"> </w:t>
      </w:r>
      <w:r w:rsidRPr="00AE4E45">
        <w:rPr>
          <w:sz w:val="22"/>
          <w:szCs w:val="22"/>
        </w:rPr>
        <w:t>IPADS</w:t>
      </w:r>
      <w:r w:rsidR="00A346AA" w:rsidRPr="00AE4E45">
        <w:rPr>
          <w:sz w:val="22"/>
          <w:szCs w:val="22"/>
        </w:rPr>
        <w:t xml:space="preserve">   3. </w:t>
      </w:r>
      <w:r w:rsidRPr="00AE4E45">
        <w:rPr>
          <w:sz w:val="22"/>
          <w:szCs w:val="22"/>
        </w:rPr>
        <w:t>Computer hardware</w:t>
      </w:r>
      <w:r w:rsidR="00483BA3" w:rsidRPr="00AE4E45">
        <w:rPr>
          <w:sz w:val="22"/>
          <w:szCs w:val="22"/>
        </w:rPr>
        <w:t xml:space="preserve"> / software</w:t>
      </w:r>
      <w:r w:rsidRPr="00AE4E45">
        <w:rPr>
          <w:sz w:val="22"/>
          <w:szCs w:val="22"/>
        </w:rPr>
        <w:t xml:space="preserve"> </w:t>
      </w:r>
      <w:r w:rsidR="00A346AA" w:rsidRPr="00AE4E45">
        <w:rPr>
          <w:sz w:val="22"/>
          <w:szCs w:val="22"/>
        </w:rPr>
        <w:t xml:space="preserve">   4. </w:t>
      </w:r>
      <w:r w:rsidRPr="00AE4E45">
        <w:rPr>
          <w:sz w:val="22"/>
          <w:szCs w:val="22"/>
        </w:rPr>
        <w:t>Smart Phones</w:t>
      </w:r>
    </w:p>
    <w:p w14:paraId="0CE7BA4A" w14:textId="77777777" w:rsidR="00130C7B" w:rsidRPr="00AE4E45" w:rsidRDefault="00130C7B" w:rsidP="00130C7B">
      <w:pPr>
        <w:rPr>
          <w:sz w:val="22"/>
          <w:szCs w:val="22"/>
        </w:rPr>
      </w:pPr>
      <w:r w:rsidRPr="00AE4E45">
        <w:rPr>
          <w:sz w:val="22"/>
          <w:szCs w:val="22"/>
        </w:rPr>
        <w:t xml:space="preserve">The following items and categories are </w:t>
      </w:r>
      <w:r w:rsidRPr="00AE4E45">
        <w:rPr>
          <w:b/>
          <w:sz w:val="22"/>
          <w:szCs w:val="22"/>
          <w:u w:val="single"/>
        </w:rPr>
        <w:t>excluded</w:t>
      </w:r>
      <w:r w:rsidRPr="00AE4E45">
        <w:rPr>
          <w:sz w:val="22"/>
          <w:szCs w:val="22"/>
        </w:rPr>
        <w:t xml:space="preserve"> from reimbursement:</w:t>
      </w:r>
    </w:p>
    <w:p w14:paraId="30E250E5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 xml:space="preserve">Television sets, Digital cameras &amp; video cameras </w:t>
      </w:r>
    </w:p>
    <w:p w14:paraId="75463AE1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>Furniture &amp; Office Supplies</w:t>
      </w:r>
    </w:p>
    <w:p w14:paraId="224DB3D7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>Incentives or Rewards for Students, food or other refreshments</w:t>
      </w:r>
    </w:p>
    <w:p w14:paraId="19F8FA60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AE4E45">
        <w:rPr>
          <w:sz w:val="22"/>
          <w:szCs w:val="22"/>
        </w:rPr>
        <w:t>IPods</w:t>
      </w:r>
      <w:proofErr w:type="spellEnd"/>
      <w:r w:rsidRPr="00AE4E45">
        <w:rPr>
          <w:sz w:val="22"/>
          <w:szCs w:val="22"/>
        </w:rPr>
        <w:t>, MP3 players, all peripherals for these items</w:t>
      </w:r>
    </w:p>
    <w:p w14:paraId="7FAA0259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>Monthly charges or service fees for cell phones, PDA’s, Blackberries, Smart Phones, etc.</w:t>
      </w:r>
    </w:p>
    <w:p w14:paraId="3829097E" w14:textId="77777777" w:rsidR="00130C7B" w:rsidRPr="00AE4E45" w:rsidRDefault="00130C7B" w:rsidP="00130C7B">
      <w:pPr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>Equipment, materials and/or supplies for students.</w:t>
      </w:r>
    </w:p>
    <w:p w14:paraId="2D664B90" w14:textId="17EAB04C" w:rsidR="00130C7B" w:rsidRPr="00AE4E45" w:rsidRDefault="00130C7B" w:rsidP="00130C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4E45">
        <w:rPr>
          <w:sz w:val="22"/>
          <w:szCs w:val="22"/>
        </w:rPr>
        <w:t>In order to secure reimbursement from the Professional Growth Partnership, members must adhere to the following requirements</w:t>
      </w:r>
      <w:r w:rsidR="00A346AA" w:rsidRPr="00AE4E45">
        <w:rPr>
          <w:sz w:val="22"/>
          <w:szCs w:val="22"/>
        </w:rPr>
        <w:t>:</w:t>
      </w:r>
    </w:p>
    <w:p w14:paraId="68E0871E" w14:textId="2309A9E5" w:rsidR="000042C5" w:rsidRDefault="00130C7B" w:rsidP="000F416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E45">
        <w:rPr>
          <w:sz w:val="22"/>
          <w:szCs w:val="22"/>
        </w:rPr>
        <w:t>Mandatory Attendance at a P</w:t>
      </w:r>
      <w:r w:rsidR="000042C5" w:rsidRPr="00AE4E45">
        <w:rPr>
          <w:sz w:val="22"/>
          <w:szCs w:val="22"/>
        </w:rPr>
        <w:t xml:space="preserve">GP </w:t>
      </w:r>
      <w:r w:rsidRPr="00AE4E45">
        <w:rPr>
          <w:sz w:val="22"/>
          <w:szCs w:val="22"/>
        </w:rPr>
        <w:t>Meeting to hear first-hand the updated guidelines that must be followed.</w:t>
      </w:r>
    </w:p>
    <w:p w14:paraId="4CFDA22B" w14:textId="25E0054F" w:rsidR="000042C5" w:rsidRPr="000F4168" w:rsidRDefault="00130C7B" w:rsidP="000F416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F4168">
        <w:rPr>
          <w:sz w:val="22"/>
          <w:szCs w:val="22"/>
        </w:rPr>
        <w:t>Submission of an application.</w:t>
      </w:r>
    </w:p>
    <w:p w14:paraId="5F61A2F2" w14:textId="74DA8A53" w:rsidR="000042C5" w:rsidRPr="00AE4E45" w:rsidRDefault="00130C7B" w:rsidP="00AE4E4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E45">
        <w:rPr>
          <w:sz w:val="22"/>
          <w:szCs w:val="22"/>
        </w:rPr>
        <w:t>Understanding that Professional Growth Partnership funds are to be utilized by the CASA-represented recipient only</w:t>
      </w:r>
      <w:r w:rsidR="000042C5" w:rsidRPr="00AE4E45">
        <w:rPr>
          <w:sz w:val="22"/>
          <w:szCs w:val="22"/>
        </w:rPr>
        <w:t>.</w:t>
      </w:r>
    </w:p>
    <w:p w14:paraId="541A658A" w14:textId="281C647B" w:rsidR="00A346AA" w:rsidRPr="00AE4E45" w:rsidRDefault="00130C7B" w:rsidP="000042C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E45">
        <w:rPr>
          <w:sz w:val="22"/>
          <w:szCs w:val="22"/>
        </w:rPr>
        <w:t xml:space="preserve">Understanding that original receipts must be provided and that any credit card purchases must be done with credit cards in the recipient’s name (by providing a copy of the credit card showing the name &amp; last 4 numbers of the card) or through verifiable financing supported by </w:t>
      </w:r>
      <w:r w:rsidR="00977FEA" w:rsidRPr="00AE4E45">
        <w:rPr>
          <w:sz w:val="22"/>
          <w:szCs w:val="22"/>
        </w:rPr>
        <w:t xml:space="preserve">vendor </w:t>
      </w:r>
      <w:r w:rsidRPr="00AE4E45">
        <w:rPr>
          <w:sz w:val="22"/>
          <w:szCs w:val="22"/>
        </w:rPr>
        <w:t>documentation</w:t>
      </w:r>
      <w:r w:rsidR="000042C5" w:rsidRPr="00AE4E45">
        <w:rPr>
          <w:sz w:val="22"/>
          <w:szCs w:val="22"/>
        </w:rPr>
        <w:t>.</w:t>
      </w:r>
    </w:p>
    <w:p w14:paraId="48DFE0B8" w14:textId="06E8AFED" w:rsidR="00130C7B" w:rsidRPr="00AE4E45" w:rsidRDefault="00130C7B" w:rsidP="000042C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4E45">
        <w:rPr>
          <w:sz w:val="22"/>
          <w:szCs w:val="22"/>
        </w:rPr>
        <w:t xml:space="preserve">Understanding that reimbursement is only appropriate for activities in which the member </w:t>
      </w:r>
      <w:proofErr w:type="gramStart"/>
      <w:r w:rsidRPr="00AE4E45">
        <w:rPr>
          <w:sz w:val="22"/>
          <w:szCs w:val="22"/>
        </w:rPr>
        <w:t>actually participates</w:t>
      </w:r>
      <w:proofErr w:type="gramEnd"/>
      <w:r w:rsidRPr="00AE4E45">
        <w:rPr>
          <w:sz w:val="22"/>
          <w:szCs w:val="22"/>
        </w:rPr>
        <w:t xml:space="preserve"> and that proof of attendance, membership, fees, purchases, etc. is required.</w:t>
      </w:r>
    </w:p>
    <w:p w14:paraId="6F501A71" w14:textId="5831F8ED" w:rsidR="00130C7B" w:rsidRPr="00AE4E45" w:rsidRDefault="00130C7B" w:rsidP="00130C7B">
      <w:pPr>
        <w:rPr>
          <w:sz w:val="22"/>
          <w:szCs w:val="22"/>
        </w:rPr>
      </w:pPr>
      <w:r w:rsidRPr="00AE4E45">
        <w:rPr>
          <w:sz w:val="22"/>
          <w:szCs w:val="22"/>
        </w:rPr>
        <w:t xml:space="preserve">All applications for reimbursement must be accompanied by </w:t>
      </w:r>
      <w:r w:rsidRPr="00AE4E45">
        <w:rPr>
          <w:b/>
          <w:sz w:val="22"/>
          <w:szCs w:val="22"/>
          <w:u w:val="single"/>
        </w:rPr>
        <w:t xml:space="preserve">Original </w:t>
      </w:r>
      <w:proofErr w:type="gramStart"/>
      <w:r w:rsidRPr="00AE4E45">
        <w:rPr>
          <w:b/>
          <w:sz w:val="22"/>
          <w:szCs w:val="22"/>
          <w:u w:val="single"/>
        </w:rPr>
        <w:t>Receipts</w:t>
      </w:r>
      <w:r w:rsidR="00B06C43" w:rsidRPr="00AE4E45">
        <w:rPr>
          <w:sz w:val="22"/>
          <w:szCs w:val="22"/>
        </w:rPr>
        <w:t xml:space="preserve">, </w:t>
      </w:r>
      <w:r w:rsidRPr="00AE4E45">
        <w:rPr>
          <w:sz w:val="22"/>
          <w:szCs w:val="22"/>
        </w:rPr>
        <w:t>and</w:t>
      </w:r>
      <w:proofErr w:type="gramEnd"/>
      <w:r w:rsidRPr="00AE4E45">
        <w:rPr>
          <w:sz w:val="22"/>
          <w:szCs w:val="22"/>
        </w:rPr>
        <w:t xml:space="preserve"> be received in the CASA office no later than </w:t>
      </w:r>
      <w:r w:rsidRPr="00AE4E45">
        <w:rPr>
          <w:b/>
          <w:i/>
          <w:sz w:val="22"/>
          <w:szCs w:val="22"/>
          <w:u w:val="single"/>
        </w:rPr>
        <w:t>4:00 PM June 30, 2019.   If the completed application is submitted and approved by June 12</w:t>
      </w:r>
      <w:r w:rsidRPr="00AE4E45">
        <w:rPr>
          <w:b/>
          <w:i/>
          <w:sz w:val="22"/>
          <w:szCs w:val="22"/>
          <w:u w:val="single"/>
          <w:vertAlign w:val="superscript"/>
        </w:rPr>
        <w:t>th</w:t>
      </w:r>
      <w:r w:rsidRPr="00AE4E45">
        <w:rPr>
          <w:b/>
          <w:i/>
          <w:sz w:val="22"/>
          <w:szCs w:val="22"/>
          <w:u w:val="single"/>
        </w:rPr>
        <w:t xml:space="preserve">, the Professional Growth Reimbursement Check will be ready by July 1, 2019. Completed, approved applications received from June 13 – 30 will be processed during the month of July. The Professional Reimbursement Check will be ready by August </w:t>
      </w:r>
      <w:r w:rsidR="000F4168">
        <w:rPr>
          <w:b/>
          <w:i/>
          <w:sz w:val="22"/>
          <w:szCs w:val="22"/>
          <w:u w:val="single"/>
        </w:rPr>
        <w:t>15</w:t>
      </w:r>
      <w:bookmarkStart w:id="0" w:name="_GoBack"/>
      <w:bookmarkEnd w:id="0"/>
      <w:r w:rsidRPr="00AE4E45">
        <w:rPr>
          <w:b/>
          <w:i/>
          <w:sz w:val="22"/>
          <w:szCs w:val="22"/>
          <w:u w:val="single"/>
        </w:rPr>
        <w:t>, 2019</w:t>
      </w:r>
      <w:r w:rsidR="004533EA" w:rsidRPr="00AE4E45">
        <w:rPr>
          <w:b/>
          <w:i/>
          <w:sz w:val="22"/>
          <w:szCs w:val="22"/>
          <w:u w:val="single"/>
        </w:rPr>
        <w:t>.</w:t>
      </w:r>
    </w:p>
    <w:p w14:paraId="24136A73" w14:textId="68E66FE5" w:rsidR="00130C7B" w:rsidRPr="00AE4E45" w:rsidRDefault="00130C7B" w:rsidP="00130C7B">
      <w:pPr>
        <w:outlineLvl w:val="0"/>
        <w:rPr>
          <w:b/>
          <w:sz w:val="20"/>
          <w:szCs w:val="20"/>
        </w:rPr>
      </w:pPr>
      <w:r w:rsidRPr="00AE4E45">
        <w:rPr>
          <w:b/>
          <w:sz w:val="20"/>
          <w:szCs w:val="20"/>
        </w:rPr>
        <w:t>THERE WILL BE NO EXTENSIONS OR EXCEPTIONS – ABSOLUTELY NO COPIES OR FACSIMILES! *NOTE: MONITORS MAY NOT HAVE TUNERS</w:t>
      </w:r>
    </w:p>
    <w:p w14:paraId="7B337D69" w14:textId="77777777" w:rsidR="00130C7B" w:rsidRDefault="00130C7B"/>
    <w:sectPr w:rsidR="0013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D36"/>
    <w:multiLevelType w:val="hybridMultilevel"/>
    <w:tmpl w:val="5DDAC9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F2F21"/>
    <w:multiLevelType w:val="hybridMultilevel"/>
    <w:tmpl w:val="564AC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54D22"/>
    <w:multiLevelType w:val="hybridMultilevel"/>
    <w:tmpl w:val="B7B6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F73B2"/>
    <w:multiLevelType w:val="hybridMultilevel"/>
    <w:tmpl w:val="75222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328BD"/>
    <w:multiLevelType w:val="hybridMultilevel"/>
    <w:tmpl w:val="1610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6C62"/>
    <w:multiLevelType w:val="hybridMultilevel"/>
    <w:tmpl w:val="4C12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8D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7B"/>
    <w:rsid w:val="000042C5"/>
    <w:rsid w:val="00066A81"/>
    <w:rsid w:val="000C15FB"/>
    <w:rsid w:val="000F4168"/>
    <w:rsid w:val="00130C7B"/>
    <w:rsid w:val="00233B70"/>
    <w:rsid w:val="004533EA"/>
    <w:rsid w:val="00483BA3"/>
    <w:rsid w:val="00595CA9"/>
    <w:rsid w:val="007C0AD0"/>
    <w:rsid w:val="00977FEA"/>
    <w:rsid w:val="00A346AA"/>
    <w:rsid w:val="00AE4E45"/>
    <w:rsid w:val="00B06C43"/>
    <w:rsid w:val="00C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ECFA"/>
  <w15:chartTrackingRefBased/>
  <w15:docId w15:val="{43B8617B-7573-4047-B8F1-5E337A9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COLI</dc:creator>
  <cp:keywords/>
  <dc:description/>
  <cp:lastModifiedBy>DJ COLI</cp:lastModifiedBy>
  <cp:revision>8</cp:revision>
  <cp:lastPrinted>2019-05-22T22:32:00Z</cp:lastPrinted>
  <dcterms:created xsi:type="dcterms:W3CDTF">2019-05-22T22:41:00Z</dcterms:created>
  <dcterms:modified xsi:type="dcterms:W3CDTF">2019-05-23T22:49:00Z</dcterms:modified>
</cp:coreProperties>
</file>